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653"/>
        <w:gridCol w:w="1579"/>
        <w:gridCol w:w="584"/>
        <w:gridCol w:w="1974"/>
        <w:gridCol w:w="557"/>
        <w:gridCol w:w="2034"/>
        <w:gridCol w:w="1777"/>
        <w:gridCol w:w="160"/>
        <w:gridCol w:w="160"/>
      </w:tblGrid>
      <w:tr w:rsidR="001150EA" w:rsidRPr="00B50AD7" w14:paraId="78B62BB4" w14:textId="77777777" w:rsidTr="008C4833">
        <w:trPr>
          <w:trHeight w:val="33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1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072820A9" w14:textId="1ABAD111" w:rsidR="00C2176F" w:rsidRPr="00B41C3F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02380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 ALL</w:t>
            </w:r>
            <w:r w:rsidR="007B5917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’</w:t>
            </w:r>
            <w:r w:rsidR="007B5917" w:rsidRPr="008C4833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ASSESSMENT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8C4833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E AL SAMPLING 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DEL </w:t>
            </w:r>
            <w:r w:rsidR="00763C9D" w:rsidRPr="008C4833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TARGET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M5C</w:t>
            </w:r>
            <w:r w:rsidR="00292067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2-7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3739895" w14:textId="77777777" w:rsidTr="008C4833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1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3C505E4" w14:textId="77777777" w:rsidTr="008C4833">
        <w:trPr>
          <w:trHeight w:val="27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51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34BA96A" w14:textId="77777777" w:rsidTr="008C4833">
        <w:trPr>
          <w:trHeight w:val="288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1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CA604EA" w14:textId="77777777" w:rsidTr="008C4833">
        <w:trPr>
          <w:trHeight w:val="8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1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06783" w:rsidRPr="00B50AD7" w14:paraId="5D67C6A0" w14:textId="77777777" w:rsidTr="008C4833">
        <w:trPr>
          <w:trHeight w:val="288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8C4833">
        <w:trPr>
          <w:trHeight w:val="564"/>
        </w:trPr>
        <w:tc>
          <w:tcPr>
            <w:tcW w:w="8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Amministrazione centrale titolare di </w:t>
            </w:r>
            <w:r w:rsidR="00755F18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</w:t>
            </w:r>
            <w:r w:rsidR="008C77D0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isur</w:t>
            </w:r>
            <w:r w:rsidR="009147E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PNRR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8C4833">
        <w:trPr>
          <w:trHeight w:val="555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29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8C4833">
        <w:trPr>
          <w:trHeight w:val="555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29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045489E1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06783" w:rsidRPr="00B50AD7" w14:paraId="7D990375" w14:textId="77777777" w:rsidTr="008C4833">
        <w:trPr>
          <w:trHeight w:val="564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327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1150EA" w:rsidRPr="00B41C3F" w:rsidRDefault="001150EA" w:rsidP="008C483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05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8C4833">
        <w:trPr>
          <w:trHeight w:val="340"/>
        </w:trPr>
        <w:tc>
          <w:tcPr>
            <w:tcW w:w="8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8C4833">
        <w:trPr>
          <w:trHeight w:val="340"/>
        </w:trPr>
        <w:tc>
          <w:tcPr>
            <w:tcW w:w="8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61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29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8C4833">
        <w:trPr>
          <w:trHeight w:val="340"/>
        </w:trPr>
        <w:tc>
          <w:tcPr>
            <w:tcW w:w="8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61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29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64E2A986" w:rsidR="001150EA" w:rsidRPr="00B41C3F" w:rsidRDefault="00306783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Infrastrutture sociali, famiglie, comunità e terzo settore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8C4833">
        <w:trPr>
          <w:trHeight w:val="567"/>
        </w:trPr>
        <w:tc>
          <w:tcPr>
            <w:tcW w:w="8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61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29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751B92E5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 1</w:t>
            </w:r>
            <w:r w:rsidR="0030678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.2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</w:t>
            </w:r>
            <w:r w:rsidR="0030678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Percorsi di autonomia per persone con disabilità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8C4833">
        <w:trPr>
          <w:trHeight w:val="567"/>
        </w:trPr>
        <w:tc>
          <w:tcPr>
            <w:tcW w:w="8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61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29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97151AC" w14:textId="440A4CD8" w:rsidR="001150EA" w:rsidRPr="00B41C3F" w:rsidRDefault="006961DB" w:rsidP="00306783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30678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M5C2-7 - </w:t>
            </w:r>
            <w:r w:rsidR="00306783" w:rsidRPr="0030678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Realizzazione da parte dei distretti sociali di almeno un progetto relativo alla ristrutturazione degli spazi domestici e/o alla fornitura di dispositivi ICT alle persone con disabilità, insieme a una formazione sulle competenze digitali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0F5A7B80" w14:textId="77777777" w:rsidTr="008C4833">
        <w:trPr>
          <w:trHeight w:val="340"/>
        </w:trPr>
        <w:tc>
          <w:tcPr>
            <w:tcW w:w="8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61" w:type="pct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29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9DABB7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Regia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23B7DBB4" w14:textId="77777777" w:rsidTr="008C4833">
        <w:trPr>
          <w:trHeight w:val="340"/>
        </w:trPr>
        <w:tc>
          <w:tcPr>
            <w:tcW w:w="8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61" w:type="pct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29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484249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4C434005" w14:textId="77777777" w:rsidTr="008C4833">
        <w:trPr>
          <w:trHeight w:val="340"/>
        </w:trPr>
        <w:tc>
          <w:tcPr>
            <w:tcW w:w="8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61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29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060DA989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8C4833">
        <w:trPr>
          <w:trHeight w:val="1114"/>
        </w:trPr>
        <w:tc>
          <w:tcPr>
            <w:tcW w:w="8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61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29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DF37656" w14:textId="39606208" w:rsidR="001150EA" w:rsidRPr="00A72CB0" w:rsidRDefault="001150EA" w:rsidP="001150E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  <w:r w:rsidR="007C3BB1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  <w:r w:rsidR="00CD188B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225CE9">
              <w:rPr>
                <w:rFonts w:ascii="Garamond" w:hAnsi="Garamond"/>
                <w:sz w:val="24"/>
                <w:szCs w:val="24"/>
              </w:rPr>
              <w:t>L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 w:rsidR="00225CE9">
              <w:rPr>
                <w:rFonts w:ascii="Garamond" w:hAnsi="Garamond"/>
                <w:sz w:val="24"/>
                <w:szCs w:val="24"/>
              </w:rPr>
              <w:t>P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 w:rsidR="00225CE9">
              <w:rPr>
                <w:rFonts w:ascii="Garamond" w:hAnsi="Garamond"/>
                <w:sz w:val="24"/>
                <w:szCs w:val="24"/>
              </w:rPr>
              <w:t>S</w:t>
            </w:r>
            <w:r w:rsidRPr="00A72CB0">
              <w:rPr>
                <w:rFonts w:ascii="Garamond" w:hAnsi="Garamond"/>
                <w:sz w:val="24"/>
                <w:szCs w:val="24"/>
              </w:rPr>
              <w:t>ociali</w:t>
            </w:r>
          </w:p>
          <w:p w14:paraId="67A44E7C" w14:textId="3E90027F" w:rsidR="007C3BB1" w:rsidRPr="007C3BB1" w:rsidRDefault="007C3BB1" w:rsidP="001150E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7C3BB1">
              <w:rPr>
                <w:rFonts w:ascii="Garamond" w:hAnsi="Garamond"/>
                <w:sz w:val="24"/>
                <w:szCs w:val="24"/>
              </w:rPr>
              <w:t>Cartella su server – Cartella UDM-PNRR\M5C2 I1.2 - Percorsi Autonomia Persone con Disabilità</w:t>
            </w:r>
          </w:p>
          <w:p w14:paraId="1AEBCAB3" w14:textId="19A2651C" w:rsidR="001150EA" w:rsidRPr="008C4833" w:rsidRDefault="007C3BB1" w:rsidP="008C48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7C3BB1">
              <w:rPr>
                <w:rFonts w:ascii="Garamond" w:hAnsi="Garamond"/>
                <w:sz w:val="24"/>
                <w:szCs w:val="24"/>
              </w:rPr>
              <w:t xml:space="preserve">Cartella su server UDM- PNRR\RENDICONTAZIONI </w:t>
            </w:r>
            <w:proofErr w:type="spellStart"/>
            <w:r w:rsidRPr="007C3BB1">
              <w:rPr>
                <w:rFonts w:ascii="Garamond" w:hAnsi="Garamond"/>
                <w:sz w:val="24"/>
                <w:szCs w:val="24"/>
              </w:rPr>
              <w:t>MeT</w:t>
            </w:r>
            <w:proofErr w:type="spellEnd"/>
            <w:r w:rsidRPr="007C3BB1">
              <w:rPr>
                <w:rFonts w:ascii="Garamond" w:hAnsi="Garamond"/>
                <w:sz w:val="24"/>
                <w:szCs w:val="24"/>
              </w:rPr>
              <w:t>\2022_Q4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6DFAF345" w14:textId="77777777" w:rsidR="00B24B83" w:rsidRPr="00B24B83" w:rsidRDefault="00B24B83" w:rsidP="00B24B83"/>
    <w:p w14:paraId="5686C7D4" w14:textId="77777777" w:rsidR="00B24B83" w:rsidRPr="00B24B83" w:rsidRDefault="00B24B83" w:rsidP="00B24B83"/>
    <w:tbl>
      <w:tblPr>
        <w:tblpPr w:leftFromText="141" w:rightFromText="141" w:vertAnchor="text" w:horzAnchor="margin" w:tblpXSpec="center" w:tblpY="136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8B6250" w:rsidRPr="00B24B83" w14:paraId="3F98FA63" w14:textId="77777777" w:rsidTr="008B6250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C370DFC" w14:textId="77777777" w:rsidR="008B6250" w:rsidRPr="00B24B83" w:rsidRDefault="008B6250" w:rsidP="008B6250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7205CE8" w14:textId="561745DF" w:rsidR="008B6250" w:rsidRPr="00B24B83" w:rsidRDefault="007B5917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proofErr w:type="spellStart"/>
            <w:r w:rsidRPr="00105A93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Assessment</w:t>
            </w:r>
            <w:proofErr w:type="spellEnd"/>
            <w:r w:rsidR="008B6250"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del </w:t>
            </w:r>
            <w:r w:rsidRPr="00105A93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T4</w:t>
            </w:r>
            <w:r w:rsidR="008B6250"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2022</w:t>
            </w:r>
            <w:r w:rsidR="008B6250" w:rsidRPr="00B24B83"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> </w:t>
            </w:r>
          </w:p>
        </w:tc>
      </w:tr>
    </w:tbl>
    <w:p w14:paraId="1A191B34" w14:textId="77777777" w:rsidR="00B24B83" w:rsidRPr="00B24B83" w:rsidRDefault="00B24B83" w:rsidP="00B24B83"/>
    <w:p w14:paraId="2986AE12" w14:textId="77777777" w:rsidR="00B24B83" w:rsidRPr="00B24B83" w:rsidRDefault="00B24B83" w:rsidP="00B24B83"/>
    <w:p w14:paraId="165C9BD7" w14:textId="77777777" w:rsidR="00B24B83" w:rsidRPr="00B24B83" w:rsidRDefault="00B24B83" w:rsidP="00B24B83"/>
    <w:p w14:paraId="39558276" w14:textId="77777777" w:rsidR="00B24B83" w:rsidRPr="00B24B83" w:rsidRDefault="00B24B83" w:rsidP="00B24B83"/>
    <w:p w14:paraId="20B2A7EB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5225" w:type="pct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"/>
        <w:gridCol w:w="587"/>
        <w:gridCol w:w="1351"/>
        <w:gridCol w:w="1363"/>
        <w:gridCol w:w="639"/>
        <w:gridCol w:w="9"/>
        <w:gridCol w:w="352"/>
        <w:gridCol w:w="143"/>
        <w:gridCol w:w="415"/>
        <w:gridCol w:w="171"/>
        <w:gridCol w:w="460"/>
        <w:gridCol w:w="1618"/>
        <w:gridCol w:w="150"/>
        <w:gridCol w:w="239"/>
        <w:gridCol w:w="1057"/>
        <w:gridCol w:w="2812"/>
        <w:gridCol w:w="1752"/>
        <w:gridCol w:w="1248"/>
        <w:gridCol w:w="105"/>
        <w:gridCol w:w="42"/>
      </w:tblGrid>
      <w:tr w:rsidR="00001E8D" w:rsidRPr="0092079C" w14:paraId="223AD5CC" w14:textId="77777777" w:rsidTr="008C4833">
        <w:trPr>
          <w:gridAfter w:val="2"/>
          <w:wAfter w:w="49" w:type="pct"/>
          <w:trHeight w:val="503"/>
        </w:trPr>
        <w:tc>
          <w:tcPr>
            <w:tcW w:w="4951" w:type="pct"/>
            <w:gridSpan w:val="18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</w:tcPr>
          <w:p w14:paraId="44D7B4AB" w14:textId="109DD496" w:rsidR="00001E8D" w:rsidRPr="0092079C" w:rsidRDefault="008B6250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>PRINCIPALI RIFERIMENTI NORMATIVI PER L’ESPLETAMENTO DELLE VERIFICHE DI MILESTONE E TARGET DELL'AMMINISTRAZIONE TITOLARE DI MISURA PNRR AI SENSI DEL REG. UE 2021/241</w:t>
            </w:r>
            <w:bookmarkEnd w:id="0"/>
          </w:p>
        </w:tc>
      </w:tr>
      <w:tr w:rsidR="00001E8D" w:rsidRPr="00001E8D" w14:paraId="10FF9B4E" w14:textId="77777777" w:rsidTr="008C4833">
        <w:trPr>
          <w:trHeight w:val="370"/>
        </w:trPr>
        <w:tc>
          <w:tcPr>
            <w:tcW w:w="4951" w:type="pct"/>
            <w:gridSpan w:val="18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628A623" w14:textId="77777777" w:rsidR="00001E8D" w:rsidRPr="0092079C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  <w:tc>
          <w:tcPr>
            <w:tcW w:w="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7A5AF1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8B6250" w:rsidRPr="00001E8D" w14:paraId="48E2C46F" w14:textId="77777777" w:rsidTr="008C4833">
        <w:trPr>
          <w:trHeight w:val="8192"/>
        </w:trPr>
        <w:tc>
          <w:tcPr>
            <w:tcW w:w="4951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8F5CB50" w14:textId="55380F47" w:rsidR="008B6250" w:rsidRPr="00001E8D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•Reg. UE 2021/241 (Dispositivo per la ripresa e la resilienza dell’Unione europea);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Decisione di esecuzione del Consiglio (CID) del 8 luglio 2021 - 10160/21;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•DM del 06/08/2021 e successivi aggiornamenti del 23/11/2021 e </w:t>
            </w:r>
            <w:proofErr w:type="spellStart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s.m.i.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49" w:type="pct"/>
            <w:gridSpan w:val="2"/>
            <w:vAlign w:val="center"/>
          </w:tcPr>
          <w:p w14:paraId="48859CF2" w14:textId="77777777" w:rsidR="008B6250" w:rsidRPr="00001E8D" w:rsidRDefault="008B6250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B6250" w:rsidRPr="00162660" w14:paraId="15C736F0" w14:textId="77777777" w:rsidTr="008C48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9" w:type="pct"/>
          <w:cantSplit/>
          <w:trHeight w:val="817"/>
          <w:tblHeader/>
        </w:trPr>
        <w:tc>
          <w:tcPr>
            <w:tcW w:w="1245" w:type="pct"/>
            <w:gridSpan w:val="4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6BE02EFD" w14:textId="63CD6B30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bookmarkStart w:id="1" w:name="_Hlk124858492"/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lastRenderedPageBreak/>
              <w:t>PUNTI DI CONTROLLO</w:t>
            </w:r>
          </w:p>
        </w:tc>
        <w:tc>
          <w:tcPr>
            <w:tcW w:w="214" w:type="pct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12777DA6" w14:textId="473D7574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69" w:type="pct"/>
            <w:gridSpan w:val="3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0D1C05C6" w14:textId="0A0DAC51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196" w:type="pct"/>
            <w:gridSpan w:val="2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071646D0" w14:textId="2B22F502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1180" w:type="pct"/>
            <w:gridSpan w:val="5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7CA750C8" w14:textId="2F568E35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 xml:space="preserve">Documenti </w:t>
            </w:r>
            <w:r w:rsidR="008C4833"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da verificare</w:t>
            </w:r>
          </w:p>
        </w:tc>
        <w:tc>
          <w:tcPr>
            <w:tcW w:w="942" w:type="pct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39D303D7" w14:textId="65B08E39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Note/Commenti</w:t>
            </w:r>
          </w:p>
        </w:tc>
        <w:tc>
          <w:tcPr>
            <w:tcW w:w="1005" w:type="pct"/>
            <w:gridSpan w:val="2"/>
            <w:tcBorders>
              <w:bottom w:val="single" w:sz="4" w:space="0" w:color="auto"/>
            </w:tcBorders>
            <w:shd w:val="clear" w:color="auto" w:fill="CCCCFF"/>
            <w:vAlign w:val="center"/>
          </w:tcPr>
          <w:p w14:paraId="6F471A42" w14:textId="4DC009D8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Oggetto del controllo</w:t>
            </w:r>
          </w:p>
        </w:tc>
      </w:tr>
      <w:bookmarkEnd w:id="1"/>
      <w:tr w:rsidR="00686F6C" w:rsidRPr="00B03310" w14:paraId="3B077D06" w14:textId="77777777" w:rsidTr="008C4833">
        <w:trPr>
          <w:trHeight w:val="2141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FBC06" w14:textId="48C6CDA7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1513E" w14:textId="1E04AD00" w:rsidR="008B6250" w:rsidRPr="00B03310" w:rsidRDefault="00FE2D61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L’UdM ha ricevuto</w:t>
            </w:r>
            <w:r w:rsidR="007B591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 Progetti personalizzati dai soggetti attuatori (</w:t>
            </w:r>
            <w:r w:rsidR="003B328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ATS/Comuni</w:t>
            </w:r>
            <w:r w:rsidR="007B591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 che hanno rendicontato al T4 2022?</w:t>
            </w:r>
          </w:p>
        </w:tc>
        <w:tc>
          <w:tcPr>
            <w:tcW w:w="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6988F" w14:textId="552D8F63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7620A" w14:textId="4A3019D3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90D65" w14:textId="5804C616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0BDAD" w14:textId="77777777" w:rsidR="007B5917" w:rsidRPr="007B5917" w:rsidRDefault="007B5917" w:rsidP="007B5917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B591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Progetti personalizzati</w:t>
            </w:r>
          </w:p>
          <w:p w14:paraId="065C4858" w14:textId="77777777" w:rsidR="007B5917" w:rsidRDefault="007B5917" w:rsidP="007B5917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DATASET MLPS_506</w:t>
            </w:r>
          </w:p>
          <w:p w14:paraId="7AD3CDF4" w14:textId="6EC1DA61" w:rsidR="007B5917" w:rsidRPr="007B5917" w:rsidRDefault="007B5917" w:rsidP="007B5917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DATASET MLPS_769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109EB" w14:textId="494FA164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6D8C4E" w14:textId="77777777" w:rsidR="008B625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  <w:r w:rsidR="007B591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Ricezione Progetti personalizzati. </w:t>
            </w:r>
          </w:p>
          <w:p w14:paraId="19365504" w14:textId="011B07E8" w:rsidR="007B5917" w:rsidRPr="00B03310" w:rsidRDefault="007B5917" w:rsidP="008B625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Alimentazione dei Dataset</w:t>
            </w:r>
            <w:r w:rsidR="00F37AD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(DATASET MLPS_506 e DATASET MLPS_769)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49" w:type="pct"/>
            <w:gridSpan w:val="2"/>
            <w:vAlign w:val="center"/>
          </w:tcPr>
          <w:p w14:paraId="5468295B" w14:textId="77777777" w:rsidR="008B6250" w:rsidRPr="00B03310" w:rsidRDefault="008B6250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86F6C" w:rsidRPr="00B03310" w14:paraId="2375EF49" w14:textId="77777777" w:rsidTr="008C4833">
        <w:trPr>
          <w:trHeight w:val="1973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568C5" w14:textId="6FBEC8B5" w:rsidR="008B6250" w:rsidRPr="00B03310" w:rsidRDefault="00EA3AA6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11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10802" w14:textId="1B9D4290" w:rsidR="008B6250" w:rsidRPr="00B03310" w:rsidRDefault="007B5917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Progetti personalizzati </w:t>
            </w:r>
            <w:r w:rsidR="00DB67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ricevuti dai soggetti attuatori (</w:t>
            </w:r>
            <w:r w:rsidR="003B328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ATS/Comuni</w:t>
            </w:r>
            <w:r w:rsidR="00DB67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) sono coerenti con la Scheda progetto predisposta dalla DG per la Lotta alla povertà e per la programmazione sociale presentata sulla Piattaforma </w:t>
            </w:r>
            <w:proofErr w:type="spellStart"/>
            <w:r w:rsidR="00DB67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Multifondo</w:t>
            </w:r>
            <w:proofErr w:type="spellEnd"/>
            <w:r w:rsidR="00DB67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D28A3" w14:textId="0EEF55A5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CF558" w14:textId="426C5278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CFBAD" w14:textId="7AC7148D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8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8B669" w14:textId="77777777" w:rsidR="008B6250" w:rsidRDefault="00DB6770" w:rsidP="00DB6770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B591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Progetti personalizzati</w:t>
            </w:r>
          </w:p>
          <w:p w14:paraId="4F2FD2FF" w14:textId="33674312" w:rsidR="00DB6770" w:rsidRPr="00DB6770" w:rsidRDefault="00DB6770" w:rsidP="00DB6770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Scheda progetto presentata sulla Piattaforma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Multifondo</w:t>
            </w:r>
            <w:proofErr w:type="spellEnd"/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E4E7C" w14:textId="0EB54607" w:rsidR="0057311E" w:rsidRPr="00B03310" w:rsidRDefault="0057311E" w:rsidP="00DB677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52B491" w14:textId="3919B0D3" w:rsidR="00DB6770" w:rsidRPr="00DB6770" w:rsidRDefault="008B6250" w:rsidP="00DB677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B67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  <w:r w:rsidR="00DB67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coerenza dei </w:t>
            </w:r>
            <w:r w:rsidR="00DB6770" w:rsidRPr="00DB67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Progetti personalizzati</w:t>
            </w:r>
            <w:r w:rsidR="00DB67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 la</w:t>
            </w:r>
          </w:p>
          <w:p w14:paraId="37D5E0AF" w14:textId="28CBC15B" w:rsidR="008B6250" w:rsidRPr="00B03310" w:rsidRDefault="00DB6770" w:rsidP="00DB677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Scheda progetto presentata sulla Piattaforma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Multifondo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49" w:type="pct"/>
            <w:gridSpan w:val="2"/>
            <w:vAlign w:val="center"/>
          </w:tcPr>
          <w:p w14:paraId="23197A4F" w14:textId="77777777" w:rsidR="008B6250" w:rsidRPr="00B03310" w:rsidRDefault="008B6250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86F6C" w:rsidRPr="00B03310" w14:paraId="5490A63E" w14:textId="77777777" w:rsidTr="008C4833">
        <w:trPr>
          <w:trHeight w:val="365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97B0A" w14:textId="702EFD59" w:rsidR="008B6250" w:rsidRPr="00B03310" w:rsidRDefault="00EA3AA6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11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21F54" w14:textId="4A6483E8" w:rsidR="008B6250" w:rsidRPr="00B03310" w:rsidRDefault="00AC30DD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Progetti personalizzati ricevuti dai soggetti attuatori (</w:t>
            </w:r>
            <w:r w:rsidR="003B328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ATS/Comuni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) che dopo il controllo dell’UdM non sono stati ritenuti pienamente coerenti con la Scheda progetto e con gli elementi previsti dal </w:t>
            </w:r>
            <w:r w:rsidRPr="00AC30D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sono stati integrati con la Dichiarazione integrativa predisposta dall’UdM?</w:t>
            </w: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8942E" w14:textId="5B4C3F07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9B187" w14:textId="21FFC4F9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C7BF4" w14:textId="334CBD1D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69578" w14:textId="77777777" w:rsidR="00AC30DD" w:rsidRDefault="00AC30DD" w:rsidP="00AC30DD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B591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Progetti personalizzati</w:t>
            </w:r>
          </w:p>
          <w:p w14:paraId="69BF5A7D" w14:textId="77777777" w:rsidR="008B6250" w:rsidRPr="00AC30DD" w:rsidRDefault="00AC30DD" w:rsidP="00AC30DD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C30D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Scheda progetto presentata sulla Piattaforma </w:t>
            </w:r>
            <w:proofErr w:type="spellStart"/>
            <w:r w:rsidRPr="00AC30D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Multifondo</w:t>
            </w:r>
            <w:proofErr w:type="spellEnd"/>
          </w:p>
          <w:p w14:paraId="71031739" w14:textId="77892F0F" w:rsidR="00AC30DD" w:rsidRDefault="00AC30DD" w:rsidP="00AC30DD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Dichiarazione integrativa</w:t>
            </w:r>
          </w:p>
          <w:p w14:paraId="67FF5091" w14:textId="77777777" w:rsidR="00CD7D21" w:rsidRDefault="00CD7D21" w:rsidP="00CD7D21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DATASET MLPS_506</w:t>
            </w:r>
          </w:p>
          <w:p w14:paraId="64DF5CFD" w14:textId="48C2B1C7" w:rsidR="00CD7D21" w:rsidRPr="00AC30DD" w:rsidRDefault="00CD7D21" w:rsidP="00CD7D21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DATASET MLPS_769</w:t>
            </w:r>
          </w:p>
          <w:p w14:paraId="3E4C3FD8" w14:textId="3D534D35" w:rsidR="00AC30DD" w:rsidRPr="00AC30DD" w:rsidRDefault="00AC30DD" w:rsidP="00AC30DD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AC30D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AC30D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A1338" w14:textId="171ACA22" w:rsidR="0057311E" w:rsidRPr="0057311E" w:rsidRDefault="0057311E" w:rsidP="00AC30D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05516" w14:textId="67982339" w:rsidR="00AC30DD" w:rsidRPr="00DB6770" w:rsidRDefault="00AC30DD" w:rsidP="00AC30D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B67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  <w:r w:rsidR="008138B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Completezza del contenuto della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integrativa dei </w:t>
            </w:r>
            <w:r w:rsidRPr="00DB67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Progetti personalizzati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non pienamente coerenti con la</w:t>
            </w:r>
          </w:p>
          <w:p w14:paraId="49399BDC" w14:textId="7D000E22" w:rsidR="008B6250" w:rsidRDefault="00AC30DD" w:rsidP="00AC30D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Scheda progetto presentata sulla Piattaforma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Multifondo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CD7D2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con gli elementi previsti dal </w:t>
            </w:r>
            <w:r w:rsidR="00CD7D21" w:rsidRPr="00AC30D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062B3261" w14:textId="7A601FCB" w:rsidR="008138B4" w:rsidRDefault="008D3513" w:rsidP="00AC30D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="008138B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deguata sottoscrizione della dichiarazione da parte del legale rappresentante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8138B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dell’ATS/Comune</w:t>
            </w:r>
          </w:p>
          <w:p w14:paraId="65000556" w14:textId="2EDF57D7" w:rsidR="008138B4" w:rsidRPr="00B03310" w:rsidRDefault="008138B4" w:rsidP="00AC30D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49" w:type="pct"/>
            <w:gridSpan w:val="2"/>
            <w:tcBorders>
              <w:left w:val="single" w:sz="4" w:space="0" w:color="auto"/>
            </w:tcBorders>
            <w:vAlign w:val="center"/>
          </w:tcPr>
          <w:p w14:paraId="4CD9A4B6" w14:textId="77777777" w:rsidR="008B6250" w:rsidRPr="00B03310" w:rsidRDefault="008B6250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86F6C" w:rsidRPr="00B03310" w14:paraId="5D9214B2" w14:textId="77777777" w:rsidTr="008C4833">
        <w:trPr>
          <w:trHeight w:val="5801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68758" w14:textId="621EFF61" w:rsidR="008B6250" w:rsidRPr="00B03310" w:rsidRDefault="00EA3AA6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2</w:t>
            </w:r>
          </w:p>
        </w:tc>
        <w:tc>
          <w:tcPr>
            <w:tcW w:w="11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3073F" w14:textId="01C46C3E" w:rsidR="008B6250" w:rsidRPr="00B03310" w:rsidRDefault="00FE2D61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L’UdM ha </w:t>
            </w:r>
            <w:r w:rsidR="00D67D1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acquisito le evidenze della condizione di disabilità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dei destinatari dei progetti personalizzati</w:t>
            </w:r>
            <w:r w:rsidR="004F32A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che hanno</w:t>
            </w:r>
            <w:r w:rsidR="004F32A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fatto parte della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rendiconta</w:t>
            </w:r>
            <w:r w:rsidR="004F32A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zione al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T4 2022, come richiesto</w:t>
            </w:r>
            <w:r w:rsidR="000234C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dalla Commissione Europea ai fini della verifica del raggiungimento del </w:t>
            </w:r>
            <w:r w:rsidR="000234C2" w:rsidRPr="000234C2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9D247" w14:textId="79C944FA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4D832" w14:textId="1E49A6D9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6A6F2" w14:textId="04B13BA4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6A185" w14:textId="7E32FA3A" w:rsidR="00C40E13" w:rsidRPr="00C40E13" w:rsidRDefault="00C40E13" w:rsidP="00C40E13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E-mail </w:t>
            </w:r>
            <w:r w:rsidRPr="00C40E1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Da: samplingPNRR </w:t>
            </w:r>
            <w:hyperlink r:id="rId19" w:history="1">
              <w:r w:rsidRPr="00600FDE">
                <w:rPr>
                  <w:rStyle w:val="Collegamentoipertestuale"/>
                  <w:rFonts w:ascii="Garamond" w:eastAsia="Times New Roman" w:hAnsi="Garamond" w:cs="Calibri"/>
                  <w:sz w:val="24"/>
                  <w:szCs w:val="24"/>
                  <w:lang w:eastAsia="it-IT"/>
                </w:rPr>
                <w:t>samplingPNRR@mef.gov.it</w:t>
              </w:r>
            </w:hyperlink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</w:t>
            </w:r>
            <w:r w:rsidRPr="00C40E1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martedì 7 febbraio 2023 Oggetto: Sampling M5C1-6, M5C2-7, M5C1-2 - richieste CE</w:t>
            </w:r>
          </w:p>
          <w:p w14:paraId="016D92E6" w14:textId="0984D7C7" w:rsidR="00D67D1F" w:rsidRDefault="00D67D1F" w:rsidP="000234C2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TRACCIATO INPS</w:t>
            </w:r>
          </w:p>
          <w:p w14:paraId="56751105" w14:textId="78737C1E" w:rsidR="003B3286" w:rsidRDefault="003B3286" w:rsidP="000234C2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Attestazioni di disabilità</w:t>
            </w:r>
          </w:p>
          <w:p w14:paraId="0462DD26" w14:textId="641ACB60" w:rsidR="000234C2" w:rsidRDefault="000234C2" w:rsidP="000234C2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B591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Progetti personalizzati</w:t>
            </w:r>
          </w:p>
          <w:p w14:paraId="2B7A0945" w14:textId="77777777" w:rsidR="000234C2" w:rsidRPr="000234C2" w:rsidRDefault="000234C2" w:rsidP="000234C2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234C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DATASET MLPS_506</w:t>
            </w:r>
          </w:p>
          <w:p w14:paraId="47E4B14B" w14:textId="5E82A30A" w:rsidR="00D67D1F" w:rsidRPr="00D67D1F" w:rsidRDefault="000234C2" w:rsidP="00D67D1F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234C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DATASET MLPS_769</w:t>
            </w:r>
          </w:p>
          <w:p w14:paraId="3E9F4EE8" w14:textId="3C52FC02" w:rsidR="000234C2" w:rsidRPr="00A133A3" w:rsidRDefault="000234C2" w:rsidP="008B6250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2EE94" w14:textId="396827BA" w:rsidR="008B6250" w:rsidRPr="00EF4209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A47C1" w14:textId="77777777" w:rsidR="00C40E13" w:rsidRDefault="008B6250" w:rsidP="000234C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38FF663E" w14:textId="151E9809" w:rsidR="00C40E13" w:rsidRPr="00C40E13" w:rsidRDefault="00C40E13" w:rsidP="00C40E1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C40E1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E-mail Da: samplingPNRR </w:t>
            </w:r>
            <w:hyperlink r:id="rId20" w:history="1">
              <w:r w:rsidRPr="00C40E13">
                <w:rPr>
                  <w:rStyle w:val="Collegamentoipertestuale"/>
                  <w:rFonts w:ascii="Garamond" w:eastAsia="Times New Roman" w:hAnsi="Garamond" w:cs="Calibri"/>
                  <w:sz w:val="24"/>
                  <w:szCs w:val="24"/>
                  <w:lang w:eastAsia="it-IT"/>
                </w:rPr>
                <w:t>samplingPNRR@mef.gov.it</w:t>
              </w:r>
            </w:hyperlink>
            <w:r w:rsidRPr="00C40E1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martedì 7 febbraio 2023 Oggetto: Sampling M5C1-6, M5C2-7, M5C1-2 - richieste CE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07DCF5BF" w14:textId="707663A9" w:rsidR="002F6535" w:rsidRDefault="002F6535" w:rsidP="000234C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TRACCIATO INPS.</w:t>
            </w:r>
          </w:p>
          <w:p w14:paraId="09C26165" w14:textId="0A87693D" w:rsidR="000234C2" w:rsidRDefault="000234C2" w:rsidP="000234C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Ricezione </w:t>
            </w:r>
            <w:r w:rsidR="003B328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delle Attestazioni di disabilità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dei beneficiari dei Progetti personalizzati. </w:t>
            </w:r>
          </w:p>
          <w:p w14:paraId="05A76482" w14:textId="51BB5740" w:rsidR="008B6250" w:rsidRPr="00B03310" w:rsidRDefault="000234C2" w:rsidP="000234C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Alimentazione dei Dataset</w:t>
            </w:r>
            <w:r w:rsidR="008138B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8D351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(</w:t>
            </w:r>
            <w:r w:rsidR="008138B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DATASET MLPS_506 e DATASET MLPS_769</w:t>
            </w:r>
            <w:r w:rsidR="008D351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  <w:r w:rsidR="00C40E1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49" w:type="pct"/>
            <w:gridSpan w:val="2"/>
            <w:vAlign w:val="center"/>
          </w:tcPr>
          <w:p w14:paraId="01C7804F" w14:textId="77777777" w:rsidR="008B6250" w:rsidRPr="00B03310" w:rsidRDefault="008B6250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86F6C" w:rsidRPr="00B03310" w14:paraId="4AFD58C2" w14:textId="77777777" w:rsidTr="008C4833">
        <w:trPr>
          <w:trHeight w:val="197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78DBA" w14:textId="33BB0E84" w:rsidR="008B6250" w:rsidRPr="00B03310" w:rsidRDefault="00EA3AA6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52391" w14:textId="2F2D7B21" w:rsidR="008B6250" w:rsidRPr="00B03310" w:rsidRDefault="001051D0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L’UdM </w:t>
            </w:r>
            <w:r w:rsidR="00736C3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ha ricevuto almeno 500 Progetti personalizzati come richiesto dal </w:t>
            </w:r>
            <w:r w:rsidR="00736C39" w:rsidRPr="00736C39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="00736C3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previsto </w:t>
            </w:r>
            <w:r w:rsidR="00270C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dall’</w:t>
            </w:r>
            <w:proofErr w:type="spellStart"/>
            <w:r w:rsidR="00270CCF" w:rsidRPr="00270CC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="00270C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  <w:r w:rsidR="00736C3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2230E" w14:textId="13C46F45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79E76" w14:textId="54BC4F50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6EE8E" w14:textId="28C2D042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8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540DC" w14:textId="77777777" w:rsidR="00736C39" w:rsidRDefault="00736C39" w:rsidP="00736C3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B591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Progetti personalizzati</w:t>
            </w:r>
          </w:p>
          <w:p w14:paraId="65C5E1CE" w14:textId="77777777" w:rsidR="00736C39" w:rsidRPr="000234C2" w:rsidRDefault="00736C39" w:rsidP="00736C3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234C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DATASET MLPS_506</w:t>
            </w:r>
          </w:p>
          <w:p w14:paraId="73748A47" w14:textId="77777777" w:rsidR="00736C39" w:rsidRDefault="00736C39" w:rsidP="00736C3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234C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DATASET MLPS_769</w:t>
            </w:r>
          </w:p>
          <w:p w14:paraId="62AAA7AF" w14:textId="19DC6AB7" w:rsidR="008B6250" w:rsidRPr="008B6250" w:rsidRDefault="00736C39" w:rsidP="00736C3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AC30D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AC30D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FC635" w14:textId="6BC8DC9D" w:rsidR="00736C39" w:rsidRPr="007A51B7" w:rsidRDefault="00736C39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64F26" w14:textId="77A40CFC" w:rsidR="00736C39" w:rsidRPr="00736C39" w:rsidRDefault="00736C39" w:rsidP="00736C3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36C3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Progetti personalizzati. </w:t>
            </w:r>
          </w:p>
          <w:p w14:paraId="5493ACBB" w14:textId="03D40408" w:rsidR="008B6250" w:rsidRPr="00736C39" w:rsidRDefault="00D65AD3" w:rsidP="00736C3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Alimentazione dei Dataset </w:t>
            </w:r>
            <w:r w:rsidR="00F37AD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(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DATASET MLPS_506 e DATASET MLPS_769</w:t>
            </w:r>
            <w:r w:rsidR="00F37AD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49" w:type="pct"/>
            <w:gridSpan w:val="2"/>
            <w:vAlign w:val="center"/>
          </w:tcPr>
          <w:p w14:paraId="405654BB" w14:textId="77777777" w:rsidR="008B6250" w:rsidRPr="00B03310" w:rsidRDefault="008B6250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86F6C" w:rsidRPr="00591B36" w14:paraId="7F7966FD" w14:textId="77777777" w:rsidTr="008C4833">
        <w:trPr>
          <w:trHeight w:val="231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2E79C" w14:textId="735CC3BD" w:rsidR="008B6250" w:rsidRPr="00B03310" w:rsidRDefault="00EA3AA6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4</w:t>
            </w:r>
          </w:p>
        </w:tc>
        <w:tc>
          <w:tcPr>
            <w:tcW w:w="11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C4368" w14:textId="2F9A1250" w:rsidR="008B6250" w:rsidRPr="00B03310" w:rsidRDefault="008B6250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distretti sociali </w:t>
            </w:r>
            <w:r w:rsidR="00736C3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(ATS</w:t>
            </w:r>
            <w:r w:rsidR="003B328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/Comuni</w:t>
            </w:r>
            <w:r w:rsidR="00736C3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)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che hanno dichiarato di aver sottoscritto almeno un progetto personalizzato sono almeno 500</w:t>
            </w:r>
            <w:r w:rsidR="00270C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come richiesto dall’</w:t>
            </w:r>
            <w:proofErr w:type="spellStart"/>
            <w:r w:rsidR="00270CCF" w:rsidRPr="00270CC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="00270C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2D0CF" w14:textId="3B1BE44E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181D8" w14:textId="281F9104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F23D8" w14:textId="08A474C0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E708C" w14:textId="77777777" w:rsidR="00270CCF" w:rsidRDefault="00270CCF" w:rsidP="00270CC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B591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Progetti personalizzati</w:t>
            </w:r>
          </w:p>
          <w:p w14:paraId="0C9076B1" w14:textId="77777777" w:rsidR="00270CCF" w:rsidRPr="000234C2" w:rsidRDefault="00270CCF" w:rsidP="00270CC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234C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DATASET MLPS_506</w:t>
            </w:r>
          </w:p>
          <w:p w14:paraId="1D2610E3" w14:textId="48958D5E" w:rsidR="00270CCF" w:rsidRDefault="00270CCF" w:rsidP="00270CC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234C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DATASET MLPS_769</w:t>
            </w:r>
          </w:p>
          <w:p w14:paraId="2C5D2C96" w14:textId="48B2CD16" w:rsidR="00A87864" w:rsidRDefault="00A87864" w:rsidP="00270CC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</w:pPr>
            <w:r w:rsidRPr="00A87864"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  <w:t>“</w:t>
            </w:r>
            <w:r w:rsidRPr="00A8786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val="en-US" w:eastAsia="it-IT"/>
              </w:rPr>
              <w:t>COMMUNICATION FROM THE COMMISSION TO THE EUROPEAN</w:t>
            </w:r>
            <w:r w:rsidRPr="00A87864"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  <w:t xml:space="preserve"> </w:t>
            </w:r>
            <w:r w:rsidRPr="00A8786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val="en-US" w:eastAsia="it-IT"/>
              </w:rPr>
              <w:t>PARLIAMENT AND THE COUNCIL Recovery and Resilience Facility: Two years on A unique instrument at the heart of the EU’s green and digital transformation</w:t>
            </w:r>
            <w:r w:rsidRPr="00A87864"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  <w:t>” (CELEX 52023DC0099)</w:t>
            </w:r>
          </w:p>
          <w:p w14:paraId="0E72B204" w14:textId="050C4893" w:rsidR="00591B36" w:rsidRPr="00591B36" w:rsidRDefault="00591B36" w:rsidP="00270CC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91B3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12. NOTA DEFINITORIA (allegata al Report di rendicontazione su </w:t>
            </w:r>
            <w:proofErr w:type="spellStart"/>
            <w:r w:rsidRPr="00591B3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</w:p>
          <w:p w14:paraId="572EF048" w14:textId="58628ADD" w:rsidR="008B6250" w:rsidRPr="008B6250" w:rsidRDefault="00270CCF" w:rsidP="00270CC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AC30D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AC30D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4D9B1" w14:textId="71ED63D5" w:rsidR="00F00834" w:rsidRPr="007667A4" w:rsidRDefault="00F00834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AFC79" w14:textId="1D26E175" w:rsidR="00270CCF" w:rsidRPr="00736C39" w:rsidRDefault="00270CCF" w:rsidP="00270CC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36C3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Progetti personalizzati. </w:t>
            </w:r>
          </w:p>
          <w:p w14:paraId="43815AE2" w14:textId="0F5978F9" w:rsidR="008B6250" w:rsidRDefault="00270CCF" w:rsidP="00270CC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70C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Alimentazione dei Dataset</w:t>
            </w:r>
            <w:r w:rsidR="00F37AD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(DATASET MLPS_506 e DATASET MLPS_769)</w:t>
            </w:r>
            <w:r w:rsidRPr="00270C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0396E5F8" w14:textId="77777777" w:rsidR="00A87864" w:rsidRDefault="00A87864" w:rsidP="00270CC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  <w:t>“</w:t>
            </w:r>
            <w:r w:rsidRPr="00A87864"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  <w:t>C</w:t>
            </w:r>
            <w:r w:rsidRPr="00A8786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val="en-US" w:eastAsia="it-IT"/>
              </w:rPr>
              <w:t>OMMUNICATION FROM THE COMMISSION TO THE EUROPEAN PARLIAMENT AND THE COUNCIL</w:t>
            </w:r>
            <w:r w:rsidRPr="00A87864"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  <w:t>” (CELEX 52023DC0099)</w:t>
            </w:r>
            <w:r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  <w:t>.</w:t>
            </w:r>
          </w:p>
          <w:p w14:paraId="20E0257B" w14:textId="4CFAB306" w:rsidR="00591B36" w:rsidRPr="00591B36" w:rsidRDefault="00591B36" w:rsidP="00270CC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91B3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Nota definitoria allegata al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Report di rendicontazione su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49" w:type="pct"/>
            <w:gridSpan w:val="2"/>
            <w:tcBorders>
              <w:left w:val="single" w:sz="4" w:space="0" w:color="auto"/>
            </w:tcBorders>
            <w:vAlign w:val="center"/>
          </w:tcPr>
          <w:p w14:paraId="520AB2C7" w14:textId="77777777" w:rsidR="008B6250" w:rsidRPr="00591B36" w:rsidRDefault="008B6250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B6250" w:rsidRPr="00B03310" w14:paraId="1A22D6CA" w14:textId="77777777" w:rsidTr="008C4833">
        <w:trPr>
          <w:gridAfter w:val="1"/>
          <w:wAfter w:w="14" w:type="pct"/>
          <w:trHeight w:val="693"/>
        </w:trPr>
        <w:tc>
          <w:tcPr>
            <w:tcW w:w="4986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296B72E0" w14:textId="271196C8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8B6250" w:rsidRPr="00B03310" w14:paraId="701F2C59" w14:textId="77777777" w:rsidTr="008C4833">
        <w:trPr>
          <w:gridAfter w:val="1"/>
          <w:wAfter w:w="14" w:type="pct"/>
          <w:trHeight w:val="850"/>
        </w:trPr>
        <w:tc>
          <w:tcPr>
            <w:tcW w:w="252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6CDF0" w14:textId="18F2254A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Esito del controllo</w:t>
            </w:r>
          </w:p>
        </w:tc>
        <w:tc>
          <w:tcPr>
            <w:tcW w:w="14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73FC3" w14:textId="03D2257F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  <w:tc>
          <w:tcPr>
            <w:tcW w:w="10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5F1EF" w14:textId="38125CFA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8B6250" w:rsidRPr="00B03310" w14:paraId="78E06787" w14:textId="77777777" w:rsidTr="008C4833">
        <w:trPr>
          <w:gridAfter w:val="1"/>
          <w:wAfter w:w="14" w:type="pct"/>
          <w:trHeight w:val="850"/>
        </w:trPr>
        <w:tc>
          <w:tcPr>
            <w:tcW w:w="252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39F4" w14:textId="77777777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D4DF0" w14:textId="0114B3F1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  <w:tc>
          <w:tcPr>
            <w:tcW w:w="10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3B33F" w14:textId="029944DC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8B6250" w:rsidRPr="00B03310" w14:paraId="46782F1C" w14:textId="77777777" w:rsidTr="008C4833">
        <w:trPr>
          <w:gridAfter w:val="1"/>
          <w:wAfter w:w="14" w:type="pct"/>
          <w:trHeight w:val="370"/>
        </w:trPr>
        <w:tc>
          <w:tcPr>
            <w:tcW w:w="3946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D1BA2C5" w14:textId="77777777" w:rsidR="008B625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60381B5C" w14:textId="77777777" w:rsidR="008C4833" w:rsidRDefault="008C4833" w:rsidP="008B625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08C0BA2D" w14:textId="77777777" w:rsidR="008C4833" w:rsidRDefault="008C4833" w:rsidP="008B625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403103A6" w14:textId="77777777" w:rsidR="008C4833" w:rsidRDefault="008C4833" w:rsidP="008B625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61498A50" w14:textId="77777777" w:rsidR="008C4833" w:rsidRDefault="008C4833" w:rsidP="008B625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4AD436D5" w14:textId="77777777" w:rsidR="008C4833" w:rsidRDefault="008C4833" w:rsidP="008B625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53F0989C" w14:textId="4A487606" w:rsidR="008C4833" w:rsidRPr="00B03310" w:rsidRDefault="008C4833" w:rsidP="008B625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0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1B682C" w14:textId="2E9740A0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8B6250" w:rsidRPr="00B03310" w14:paraId="1702942E" w14:textId="77777777" w:rsidTr="008C4833">
        <w:trPr>
          <w:gridAfter w:val="1"/>
          <w:wAfter w:w="14" w:type="pct"/>
          <w:trHeight w:val="370"/>
        </w:trPr>
        <w:tc>
          <w:tcPr>
            <w:tcW w:w="4986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0BB417D2" w14:textId="2DC95F32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Note</w:t>
            </w:r>
          </w:p>
        </w:tc>
      </w:tr>
      <w:tr w:rsidR="008B6250" w:rsidRPr="00B03310" w14:paraId="3FC71B32" w14:textId="77777777" w:rsidTr="008C4833">
        <w:trPr>
          <w:gridAfter w:val="1"/>
          <w:wAfter w:w="14" w:type="pct"/>
          <w:trHeight w:val="1134"/>
        </w:trPr>
        <w:tc>
          <w:tcPr>
            <w:tcW w:w="4986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8FB67B9" w14:textId="23FC0A7C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</w:tr>
      <w:tr w:rsidR="008C4833" w:rsidRPr="00B03310" w14:paraId="0A2563BA" w14:textId="77777777" w:rsidTr="008C4833">
        <w:trPr>
          <w:gridAfter w:val="17"/>
          <w:wAfter w:w="4212" w:type="pct"/>
          <w:trHeight w:val="373"/>
        </w:trPr>
        <w:tc>
          <w:tcPr>
            <w:tcW w:w="3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46B11B9" w14:textId="5E8893CF" w:rsidR="008C4833" w:rsidRPr="00B03310" w:rsidRDefault="008C4833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50D5C2" w14:textId="77777777" w:rsidR="008C4833" w:rsidRPr="00B03310" w:rsidRDefault="008C4833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8B6250" w:rsidRPr="00B03310" w14:paraId="6B5513F2" w14:textId="77777777" w:rsidTr="008C4833">
        <w:trPr>
          <w:gridAfter w:val="1"/>
          <w:wAfter w:w="14" w:type="pct"/>
          <w:trHeight w:val="373"/>
        </w:trPr>
        <w:tc>
          <w:tcPr>
            <w:tcW w:w="4986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576F7E82" w14:textId="455373DD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8B6250" w:rsidRPr="00B03310" w14:paraId="0B300EB0" w14:textId="77777777" w:rsidTr="008C4833">
        <w:trPr>
          <w:gridAfter w:val="1"/>
          <w:wAfter w:w="14" w:type="pct"/>
          <w:trHeight w:val="1134"/>
        </w:trPr>
        <w:tc>
          <w:tcPr>
            <w:tcW w:w="4986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9EB1922" w14:textId="3B0B1A94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686F6C" w:rsidRPr="00B03310" w14:paraId="478DCF24" w14:textId="77777777" w:rsidTr="008C4833">
        <w:trPr>
          <w:gridAfter w:val="1"/>
          <w:wAfter w:w="14" w:type="pct"/>
          <w:trHeight w:val="370"/>
        </w:trPr>
        <w:tc>
          <w:tcPr>
            <w:tcW w:w="3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DB0278A" w14:textId="4DADD863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4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E9BC69" w14:textId="73C74A6C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6EDFBD6" w14:textId="421C2B17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2E3059A" w14:textId="42C95DB1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5ABC04" w14:textId="60F56FA8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5EB9B7A" w14:textId="1AD46362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AB86FBC" w14:textId="340765AD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36605" w14:textId="77777777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686F6C" w:rsidRPr="00B03310" w14:paraId="5EA6EEC0" w14:textId="77777777" w:rsidTr="008C4833">
        <w:trPr>
          <w:gridAfter w:val="1"/>
          <w:wAfter w:w="14" w:type="pct"/>
          <w:trHeight w:val="370"/>
        </w:trPr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65085B3" w14:textId="676A5ACE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4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A25F3E6" w14:textId="6C89395B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D0AB086" w14:textId="11CFD0C8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E22C2CC" w14:textId="347F46E7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97D5D6" w14:textId="30B540AF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9F368C2" w14:textId="0F4A4E94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06912D" w14:textId="21532F4D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FC35C0" w14:textId="77777777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8B6250" w:rsidRPr="00B03310" w14:paraId="760D6BB6" w14:textId="77777777" w:rsidTr="008C4833">
        <w:trPr>
          <w:gridAfter w:val="1"/>
          <w:wAfter w:w="14" w:type="pct"/>
          <w:trHeight w:val="567"/>
        </w:trPr>
        <w:tc>
          <w:tcPr>
            <w:tcW w:w="15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21A16" w14:textId="40A56B24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 list</w:t>
            </w:r>
          </w:p>
        </w:tc>
        <w:tc>
          <w:tcPr>
            <w:tcW w:w="236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84F8BC4" w14:textId="57BC9E66" w:rsidR="008B6250" w:rsidRPr="00B03310" w:rsidRDefault="008B6250" w:rsidP="008C483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0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B1CCE0" w14:textId="77777777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8B6250" w:rsidRPr="00B03310" w14:paraId="1C89565B" w14:textId="77777777" w:rsidTr="008C4833">
        <w:trPr>
          <w:gridAfter w:val="1"/>
          <w:wAfter w:w="14" w:type="pct"/>
          <w:trHeight w:val="397"/>
        </w:trPr>
        <w:tc>
          <w:tcPr>
            <w:tcW w:w="15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A2A1D" w14:textId="58AEE652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(Funzionario) </w:t>
            </w:r>
          </w:p>
        </w:tc>
        <w:tc>
          <w:tcPr>
            <w:tcW w:w="9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E8442" w14:textId="7A158E96" w:rsidR="008B6250" w:rsidRPr="00B03310" w:rsidRDefault="008B6250" w:rsidP="008C483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13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DF7C" w14:textId="77777777" w:rsidR="00F00834" w:rsidRDefault="00F00834" w:rsidP="00206B92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5869DE23" w14:textId="313F1E8B" w:rsidR="00686F6C" w:rsidRPr="00C04BD8" w:rsidRDefault="008B6250" w:rsidP="00206B92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48"/>
                <w:szCs w:val="48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 w:rsidR="00686F6C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</w:t>
            </w:r>
          </w:p>
          <w:p w14:paraId="0204BD35" w14:textId="659D07BC" w:rsidR="008B6250" w:rsidRPr="00B03310" w:rsidRDefault="00686F6C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      </w:t>
            </w:r>
          </w:p>
        </w:tc>
        <w:tc>
          <w:tcPr>
            <w:tcW w:w="10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B5CF2" w14:textId="77777777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8B6250" w:rsidRPr="00B03310" w14:paraId="039BD933" w14:textId="77777777" w:rsidTr="008C4833">
        <w:trPr>
          <w:gridAfter w:val="1"/>
          <w:wAfter w:w="14" w:type="pct"/>
          <w:trHeight w:val="340"/>
        </w:trPr>
        <w:tc>
          <w:tcPr>
            <w:tcW w:w="15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2B27F" w14:textId="3CF4B035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</w:t>
            </w:r>
          </w:p>
        </w:tc>
        <w:tc>
          <w:tcPr>
            <w:tcW w:w="9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68DBC" w14:textId="6F908983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13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AFD6" w14:textId="77777777" w:rsidR="00F00834" w:rsidRDefault="00F00834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72DE43BF" w14:textId="0E714967" w:rsidR="008B625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  <w:p w14:paraId="48B8547E" w14:textId="0224D4D6" w:rsidR="00206B92" w:rsidRPr="00B03310" w:rsidRDefault="00206B92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0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8E2E87" w14:textId="77777777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686F6C" w:rsidRPr="00B03310" w14:paraId="65DD03B3" w14:textId="77777777" w:rsidTr="008C4833">
        <w:trPr>
          <w:gridAfter w:val="1"/>
          <w:wAfter w:w="14" w:type="pct"/>
          <w:trHeight w:val="1250"/>
        </w:trPr>
        <w:tc>
          <w:tcPr>
            <w:tcW w:w="3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CE81913" w14:textId="674D507D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4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F16B370" w14:textId="1AA5D79D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4EE98BE" w14:textId="5E8475BE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0668EAF" w14:textId="15224381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97CAB5C" w14:textId="0616009D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6D5D1" w14:textId="77777777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D059442" w14:textId="768FCF70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58005" w14:textId="77777777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CD50D1E" w14:textId="24261C9A" w:rsidR="004752DC" w:rsidRDefault="004752DC" w:rsidP="00E3138C">
      <w:pPr>
        <w:tabs>
          <w:tab w:val="left" w:pos="10348"/>
        </w:tabs>
      </w:pPr>
    </w:p>
    <w:sectPr w:rsidR="004752DC" w:rsidSect="00EF7296">
      <w:headerReference w:type="default" r:id="rId21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F8D99" w14:textId="77777777" w:rsidR="00C22129" w:rsidRDefault="00C22129" w:rsidP="00482081">
      <w:pPr>
        <w:spacing w:after="0" w:line="240" w:lineRule="auto"/>
      </w:pPr>
      <w:r>
        <w:separator/>
      </w:r>
    </w:p>
  </w:endnote>
  <w:endnote w:type="continuationSeparator" w:id="0">
    <w:p w14:paraId="17276D4B" w14:textId="77777777" w:rsidR="00C22129" w:rsidRDefault="00C22129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216047"/>
      <w:docPartObj>
        <w:docPartGallery w:val="Page Numbers (Bottom of Page)"/>
        <w:docPartUnique/>
      </w:docPartObj>
    </w:sdtPr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9E515" w14:textId="77777777" w:rsidR="00C22129" w:rsidRDefault="00C22129" w:rsidP="00482081">
      <w:pPr>
        <w:spacing w:after="0" w:line="240" w:lineRule="auto"/>
      </w:pPr>
      <w:r>
        <w:separator/>
      </w:r>
    </w:p>
  </w:footnote>
  <w:footnote w:type="continuationSeparator" w:id="0">
    <w:p w14:paraId="0171BEE1" w14:textId="77777777" w:rsidR="00C22129" w:rsidRDefault="00C22129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C73A7"/>
    <w:multiLevelType w:val="hybridMultilevel"/>
    <w:tmpl w:val="F59C0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00C81"/>
    <w:multiLevelType w:val="hybridMultilevel"/>
    <w:tmpl w:val="E892A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4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7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953694"/>
    <w:multiLevelType w:val="hybridMultilevel"/>
    <w:tmpl w:val="9F46F2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2CC54F8"/>
    <w:multiLevelType w:val="hybridMultilevel"/>
    <w:tmpl w:val="D200C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680549">
    <w:abstractNumId w:val="9"/>
  </w:num>
  <w:num w:numId="2" w16cid:durableId="2049331677">
    <w:abstractNumId w:val="16"/>
  </w:num>
  <w:num w:numId="3" w16cid:durableId="216864068">
    <w:abstractNumId w:val="13"/>
  </w:num>
  <w:num w:numId="4" w16cid:durableId="1750426791">
    <w:abstractNumId w:val="7"/>
  </w:num>
  <w:num w:numId="5" w16cid:durableId="1689943029">
    <w:abstractNumId w:val="28"/>
  </w:num>
  <w:num w:numId="6" w16cid:durableId="1225608903">
    <w:abstractNumId w:val="26"/>
  </w:num>
  <w:num w:numId="7" w16cid:durableId="149370482">
    <w:abstractNumId w:val="12"/>
  </w:num>
  <w:num w:numId="8" w16cid:durableId="2035837246">
    <w:abstractNumId w:val="24"/>
  </w:num>
  <w:num w:numId="9" w16cid:durableId="532691519">
    <w:abstractNumId w:val="3"/>
  </w:num>
  <w:num w:numId="10" w16cid:durableId="1164051246">
    <w:abstractNumId w:val="31"/>
  </w:num>
  <w:num w:numId="11" w16cid:durableId="545027069">
    <w:abstractNumId w:val="36"/>
  </w:num>
  <w:num w:numId="12" w16cid:durableId="1483081795">
    <w:abstractNumId w:val="33"/>
  </w:num>
  <w:num w:numId="13" w16cid:durableId="2115510519">
    <w:abstractNumId w:val="23"/>
  </w:num>
  <w:num w:numId="14" w16cid:durableId="1444492513">
    <w:abstractNumId w:val="20"/>
  </w:num>
  <w:num w:numId="15" w16cid:durableId="127016197">
    <w:abstractNumId w:val="2"/>
  </w:num>
  <w:num w:numId="16" w16cid:durableId="263729401">
    <w:abstractNumId w:val="29"/>
  </w:num>
  <w:num w:numId="17" w16cid:durableId="464277816">
    <w:abstractNumId w:val="0"/>
  </w:num>
  <w:num w:numId="18" w16cid:durableId="382291762">
    <w:abstractNumId w:val="14"/>
  </w:num>
  <w:num w:numId="19" w16cid:durableId="1711567999">
    <w:abstractNumId w:val="32"/>
  </w:num>
  <w:num w:numId="20" w16cid:durableId="794248936">
    <w:abstractNumId w:val="22"/>
  </w:num>
  <w:num w:numId="21" w16cid:durableId="753089536">
    <w:abstractNumId w:val="34"/>
  </w:num>
  <w:num w:numId="22" w16cid:durableId="1729306184">
    <w:abstractNumId w:val="15"/>
  </w:num>
  <w:num w:numId="23" w16cid:durableId="1431469401">
    <w:abstractNumId w:val="17"/>
  </w:num>
  <w:num w:numId="24" w16cid:durableId="674848162">
    <w:abstractNumId w:val="39"/>
  </w:num>
  <w:num w:numId="25" w16cid:durableId="452409824">
    <w:abstractNumId w:val="25"/>
  </w:num>
  <w:num w:numId="26" w16cid:durableId="1759251925">
    <w:abstractNumId w:val="8"/>
  </w:num>
  <w:num w:numId="27" w16cid:durableId="615331753">
    <w:abstractNumId w:val="1"/>
  </w:num>
  <w:num w:numId="28" w16cid:durableId="469058995">
    <w:abstractNumId w:val="30"/>
  </w:num>
  <w:num w:numId="29" w16cid:durableId="1630823727">
    <w:abstractNumId w:val="35"/>
  </w:num>
  <w:num w:numId="30" w16cid:durableId="598685663">
    <w:abstractNumId w:val="11"/>
  </w:num>
  <w:num w:numId="31" w16cid:durableId="290012672">
    <w:abstractNumId w:val="10"/>
  </w:num>
  <w:num w:numId="32" w16cid:durableId="246423609">
    <w:abstractNumId w:val="5"/>
  </w:num>
  <w:num w:numId="33" w16cid:durableId="541794530">
    <w:abstractNumId w:val="6"/>
  </w:num>
  <w:num w:numId="34" w16cid:durableId="955525176">
    <w:abstractNumId w:val="37"/>
  </w:num>
  <w:num w:numId="35" w16cid:durableId="3556631">
    <w:abstractNumId w:val="21"/>
  </w:num>
  <w:num w:numId="36" w16cid:durableId="579563757">
    <w:abstractNumId w:val="4"/>
  </w:num>
  <w:num w:numId="37" w16cid:durableId="976102694">
    <w:abstractNumId w:val="27"/>
  </w:num>
  <w:num w:numId="38" w16cid:durableId="1183014197">
    <w:abstractNumId w:val="19"/>
  </w:num>
  <w:num w:numId="39" w16cid:durableId="1753624253">
    <w:abstractNumId w:val="18"/>
  </w:num>
  <w:num w:numId="40" w16cid:durableId="22584287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308"/>
    <w:rsid w:val="000234C2"/>
    <w:rsid w:val="00023801"/>
    <w:rsid w:val="0002593F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69CE"/>
    <w:rsid w:val="000735A8"/>
    <w:rsid w:val="00075EC1"/>
    <w:rsid w:val="00076A74"/>
    <w:rsid w:val="00081024"/>
    <w:rsid w:val="000824A1"/>
    <w:rsid w:val="000857F3"/>
    <w:rsid w:val="000933A1"/>
    <w:rsid w:val="00093A4B"/>
    <w:rsid w:val="00094D41"/>
    <w:rsid w:val="000951E5"/>
    <w:rsid w:val="00095422"/>
    <w:rsid w:val="00096429"/>
    <w:rsid w:val="000A2102"/>
    <w:rsid w:val="000B0B9C"/>
    <w:rsid w:val="000B1AE7"/>
    <w:rsid w:val="000B2DC8"/>
    <w:rsid w:val="000B40B6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51D0"/>
    <w:rsid w:val="00105A93"/>
    <w:rsid w:val="00106A75"/>
    <w:rsid w:val="00112139"/>
    <w:rsid w:val="0011240A"/>
    <w:rsid w:val="00112755"/>
    <w:rsid w:val="001150EA"/>
    <w:rsid w:val="0011527D"/>
    <w:rsid w:val="00123645"/>
    <w:rsid w:val="00127AC0"/>
    <w:rsid w:val="00133417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A75"/>
    <w:rsid w:val="001A0B6C"/>
    <w:rsid w:val="001B0A82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6B92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419E8"/>
    <w:rsid w:val="00241A9A"/>
    <w:rsid w:val="00253E6A"/>
    <w:rsid w:val="00260C69"/>
    <w:rsid w:val="00261237"/>
    <w:rsid w:val="00270CCF"/>
    <w:rsid w:val="002759A7"/>
    <w:rsid w:val="002852B5"/>
    <w:rsid w:val="00285442"/>
    <w:rsid w:val="0029030A"/>
    <w:rsid w:val="00292067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7299"/>
    <w:rsid w:val="002D799D"/>
    <w:rsid w:val="002E1039"/>
    <w:rsid w:val="002E2580"/>
    <w:rsid w:val="002F0686"/>
    <w:rsid w:val="002F1050"/>
    <w:rsid w:val="002F24AE"/>
    <w:rsid w:val="002F6535"/>
    <w:rsid w:val="002F6AB9"/>
    <w:rsid w:val="002F728E"/>
    <w:rsid w:val="00306783"/>
    <w:rsid w:val="00307B98"/>
    <w:rsid w:val="00310106"/>
    <w:rsid w:val="00310A14"/>
    <w:rsid w:val="003151F6"/>
    <w:rsid w:val="0031562F"/>
    <w:rsid w:val="00323442"/>
    <w:rsid w:val="00331CC7"/>
    <w:rsid w:val="003332B7"/>
    <w:rsid w:val="00336949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73883"/>
    <w:rsid w:val="00373AB0"/>
    <w:rsid w:val="00392272"/>
    <w:rsid w:val="003A21E7"/>
    <w:rsid w:val="003A3F9E"/>
    <w:rsid w:val="003A6ABD"/>
    <w:rsid w:val="003A7CF5"/>
    <w:rsid w:val="003B21ED"/>
    <w:rsid w:val="003B24C8"/>
    <w:rsid w:val="003B25B7"/>
    <w:rsid w:val="003B3286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403FB9"/>
    <w:rsid w:val="004103CC"/>
    <w:rsid w:val="00410586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7356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D15C0"/>
    <w:rsid w:val="004D1659"/>
    <w:rsid w:val="004E0C8F"/>
    <w:rsid w:val="004E67A0"/>
    <w:rsid w:val="004F0EE4"/>
    <w:rsid w:val="004F32AC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311E"/>
    <w:rsid w:val="00574A74"/>
    <w:rsid w:val="00575213"/>
    <w:rsid w:val="00584314"/>
    <w:rsid w:val="00586FA8"/>
    <w:rsid w:val="00590A1D"/>
    <w:rsid w:val="00590EA9"/>
    <w:rsid w:val="00591B36"/>
    <w:rsid w:val="0059362E"/>
    <w:rsid w:val="005944D1"/>
    <w:rsid w:val="00595D66"/>
    <w:rsid w:val="005A7FAE"/>
    <w:rsid w:val="005B017A"/>
    <w:rsid w:val="005C1D85"/>
    <w:rsid w:val="005C3A4E"/>
    <w:rsid w:val="005D6A68"/>
    <w:rsid w:val="005D6FE6"/>
    <w:rsid w:val="005E47E6"/>
    <w:rsid w:val="005F1212"/>
    <w:rsid w:val="005F381A"/>
    <w:rsid w:val="005F3AA5"/>
    <w:rsid w:val="005F5D65"/>
    <w:rsid w:val="005F633C"/>
    <w:rsid w:val="00602693"/>
    <w:rsid w:val="0060517D"/>
    <w:rsid w:val="00614768"/>
    <w:rsid w:val="00614C89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86F6C"/>
    <w:rsid w:val="00695A00"/>
    <w:rsid w:val="006961DB"/>
    <w:rsid w:val="006979D5"/>
    <w:rsid w:val="006A67C8"/>
    <w:rsid w:val="006B4144"/>
    <w:rsid w:val="006B6527"/>
    <w:rsid w:val="006B7B2B"/>
    <w:rsid w:val="006C3BE7"/>
    <w:rsid w:val="006D2967"/>
    <w:rsid w:val="006E04C8"/>
    <w:rsid w:val="006E1831"/>
    <w:rsid w:val="006F4625"/>
    <w:rsid w:val="007001D4"/>
    <w:rsid w:val="00705B90"/>
    <w:rsid w:val="00707431"/>
    <w:rsid w:val="00711C48"/>
    <w:rsid w:val="007149CD"/>
    <w:rsid w:val="00715A3D"/>
    <w:rsid w:val="00720962"/>
    <w:rsid w:val="00726D0B"/>
    <w:rsid w:val="0072727F"/>
    <w:rsid w:val="007345AB"/>
    <w:rsid w:val="00736C39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67A4"/>
    <w:rsid w:val="0076754A"/>
    <w:rsid w:val="0077007A"/>
    <w:rsid w:val="0077326A"/>
    <w:rsid w:val="00787627"/>
    <w:rsid w:val="0079789C"/>
    <w:rsid w:val="007A092E"/>
    <w:rsid w:val="007A4826"/>
    <w:rsid w:val="007A51B7"/>
    <w:rsid w:val="007B4706"/>
    <w:rsid w:val="007B5917"/>
    <w:rsid w:val="007B6BB7"/>
    <w:rsid w:val="007B79B5"/>
    <w:rsid w:val="007C1701"/>
    <w:rsid w:val="007C3BB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80640C"/>
    <w:rsid w:val="00810CAE"/>
    <w:rsid w:val="008137CF"/>
    <w:rsid w:val="008138B4"/>
    <w:rsid w:val="00813EE6"/>
    <w:rsid w:val="00820392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38CC"/>
    <w:rsid w:val="0088547F"/>
    <w:rsid w:val="00886CC2"/>
    <w:rsid w:val="00891562"/>
    <w:rsid w:val="00892789"/>
    <w:rsid w:val="00893010"/>
    <w:rsid w:val="00896D85"/>
    <w:rsid w:val="008B0689"/>
    <w:rsid w:val="008B1065"/>
    <w:rsid w:val="008B215B"/>
    <w:rsid w:val="008B3375"/>
    <w:rsid w:val="008B3AAD"/>
    <w:rsid w:val="008B6250"/>
    <w:rsid w:val="008C0996"/>
    <w:rsid w:val="008C3730"/>
    <w:rsid w:val="008C4833"/>
    <w:rsid w:val="008C77D0"/>
    <w:rsid w:val="008C7F16"/>
    <w:rsid w:val="008D3513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26C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695A"/>
    <w:rsid w:val="00A07273"/>
    <w:rsid w:val="00A073C1"/>
    <w:rsid w:val="00A10239"/>
    <w:rsid w:val="00A10616"/>
    <w:rsid w:val="00A12B87"/>
    <w:rsid w:val="00A133A3"/>
    <w:rsid w:val="00A136CA"/>
    <w:rsid w:val="00A15D72"/>
    <w:rsid w:val="00A20724"/>
    <w:rsid w:val="00A225CA"/>
    <w:rsid w:val="00A26C6C"/>
    <w:rsid w:val="00A270E6"/>
    <w:rsid w:val="00A27B86"/>
    <w:rsid w:val="00A32314"/>
    <w:rsid w:val="00A3390F"/>
    <w:rsid w:val="00A40E85"/>
    <w:rsid w:val="00A40F30"/>
    <w:rsid w:val="00A41EDA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71EA1"/>
    <w:rsid w:val="00A7648E"/>
    <w:rsid w:val="00A83758"/>
    <w:rsid w:val="00A859CD"/>
    <w:rsid w:val="00A86453"/>
    <w:rsid w:val="00A87864"/>
    <w:rsid w:val="00A94A56"/>
    <w:rsid w:val="00AA01BB"/>
    <w:rsid w:val="00AA1259"/>
    <w:rsid w:val="00AA40D2"/>
    <w:rsid w:val="00AA7819"/>
    <w:rsid w:val="00AB2444"/>
    <w:rsid w:val="00AC30DD"/>
    <w:rsid w:val="00AC4D76"/>
    <w:rsid w:val="00AC65DB"/>
    <w:rsid w:val="00AE2471"/>
    <w:rsid w:val="00AE3081"/>
    <w:rsid w:val="00AE4841"/>
    <w:rsid w:val="00AE55F4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61081"/>
    <w:rsid w:val="00B613DF"/>
    <w:rsid w:val="00B61692"/>
    <w:rsid w:val="00B623C5"/>
    <w:rsid w:val="00B624BE"/>
    <w:rsid w:val="00B67495"/>
    <w:rsid w:val="00B737F3"/>
    <w:rsid w:val="00B818E2"/>
    <w:rsid w:val="00B87524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681D"/>
    <w:rsid w:val="00BE700D"/>
    <w:rsid w:val="00BE7CC1"/>
    <w:rsid w:val="00BF232A"/>
    <w:rsid w:val="00BF5E3D"/>
    <w:rsid w:val="00C00FD0"/>
    <w:rsid w:val="00C01968"/>
    <w:rsid w:val="00C04BD8"/>
    <w:rsid w:val="00C04D1F"/>
    <w:rsid w:val="00C05E4A"/>
    <w:rsid w:val="00C20F7A"/>
    <w:rsid w:val="00C2176F"/>
    <w:rsid w:val="00C22129"/>
    <w:rsid w:val="00C256B8"/>
    <w:rsid w:val="00C3113A"/>
    <w:rsid w:val="00C32A9B"/>
    <w:rsid w:val="00C37245"/>
    <w:rsid w:val="00C40E13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7FCD"/>
    <w:rsid w:val="00C82B5F"/>
    <w:rsid w:val="00C914F0"/>
    <w:rsid w:val="00C916CF"/>
    <w:rsid w:val="00C93AD4"/>
    <w:rsid w:val="00C93F2D"/>
    <w:rsid w:val="00C9712E"/>
    <w:rsid w:val="00CA31AA"/>
    <w:rsid w:val="00CB64B8"/>
    <w:rsid w:val="00CB716E"/>
    <w:rsid w:val="00CC06E6"/>
    <w:rsid w:val="00CC3EE9"/>
    <w:rsid w:val="00CD188B"/>
    <w:rsid w:val="00CD3D98"/>
    <w:rsid w:val="00CD409A"/>
    <w:rsid w:val="00CD7D21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2275"/>
    <w:rsid w:val="00D6358D"/>
    <w:rsid w:val="00D652F7"/>
    <w:rsid w:val="00D65AD3"/>
    <w:rsid w:val="00D6740E"/>
    <w:rsid w:val="00D67D1F"/>
    <w:rsid w:val="00D71F61"/>
    <w:rsid w:val="00D82CEA"/>
    <w:rsid w:val="00D8649A"/>
    <w:rsid w:val="00D91789"/>
    <w:rsid w:val="00D918D8"/>
    <w:rsid w:val="00D96D00"/>
    <w:rsid w:val="00DA0686"/>
    <w:rsid w:val="00DA1261"/>
    <w:rsid w:val="00DB1CE6"/>
    <w:rsid w:val="00DB3900"/>
    <w:rsid w:val="00DB677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2EC1"/>
    <w:rsid w:val="00DD5F01"/>
    <w:rsid w:val="00DE1192"/>
    <w:rsid w:val="00DF32EC"/>
    <w:rsid w:val="00E04B1E"/>
    <w:rsid w:val="00E05F5A"/>
    <w:rsid w:val="00E10E3D"/>
    <w:rsid w:val="00E11BE0"/>
    <w:rsid w:val="00E12AFF"/>
    <w:rsid w:val="00E246A9"/>
    <w:rsid w:val="00E26371"/>
    <w:rsid w:val="00E3138C"/>
    <w:rsid w:val="00E40D06"/>
    <w:rsid w:val="00E4144D"/>
    <w:rsid w:val="00E473CE"/>
    <w:rsid w:val="00E52814"/>
    <w:rsid w:val="00E5359D"/>
    <w:rsid w:val="00E554A8"/>
    <w:rsid w:val="00E60D25"/>
    <w:rsid w:val="00E65025"/>
    <w:rsid w:val="00E674D7"/>
    <w:rsid w:val="00E71876"/>
    <w:rsid w:val="00E722FD"/>
    <w:rsid w:val="00E80563"/>
    <w:rsid w:val="00E80CE4"/>
    <w:rsid w:val="00E83ABF"/>
    <w:rsid w:val="00E86051"/>
    <w:rsid w:val="00E903A5"/>
    <w:rsid w:val="00E91C07"/>
    <w:rsid w:val="00EA1ACC"/>
    <w:rsid w:val="00EA1E5D"/>
    <w:rsid w:val="00EA282C"/>
    <w:rsid w:val="00EA3AA6"/>
    <w:rsid w:val="00EA4902"/>
    <w:rsid w:val="00EA70A6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7122"/>
    <w:rsid w:val="00EE7CE6"/>
    <w:rsid w:val="00EF35FD"/>
    <w:rsid w:val="00EF4109"/>
    <w:rsid w:val="00EF4209"/>
    <w:rsid w:val="00EF5EF5"/>
    <w:rsid w:val="00EF7296"/>
    <w:rsid w:val="00F006E7"/>
    <w:rsid w:val="00F00834"/>
    <w:rsid w:val="00F0422D"/>
    <w:rsid w:val="00F17470"/>
    <w:rsid w:val="00F20AD1"/>
    <w:rsid w:val="00F217C5"/>
    <w:rsid w:val="00F31769"/>
    <w:rsid w:val="00F317B9"/>
    <w:rsid w:val="00F321F2"/>
    <w:rsid w:val="00F349DA"/>
    <w:rsid w:val="00F34DE2"/>
    <w:rsid w:val="00F3560F"/>
    <w:rsid w:val="00F37823"/>
    <w:rsid w:val="00F37AD7"/>
    <w:rsid w:val="00F42626"/>
    <w:rsid w:val="00F45132"/>
    <w:rsid w:val="00F473F6"/>
    <w:rsid w:val="00F55376"/>
    <w:rsid w:val="00F55CBF"/>
    <w:rsid w:val="00F64AA8"/>
    <w:rsid w:val="00F67F99"/>
    <w:rsid w:val="00F7017F"/>
    <w:rsid w:val="00F74AA7"/>
    <w:rsid w:val="00F74C6C"/>
    <w:rsid w:val="00F764D9"/>
    <w:rsid w:val="00F809DD"/>
    <w:rsid w:val="00F84379"/>
    <w:rsid w:val="00F86C7E"/>
    <w:rsid w:val="00F86E87"/>
    <w:rsid w:val="00FA393D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13AA"/>
    <w:rsid w:val="00FC3432"/>
    <w:rsid w:val="00FC6489"/>
    <w:rsid w:val="00FC70F5"/>
    <w:rsid w:val="00FD146F"/>
    <w:rsid w:val="00FD4C7B"/>
    <w:rsid w:val="00FD5385"/>
    <w:rsid w:val="00FD5D11"/>
    <w:rsid w:val="00FD7C5C"/>
    <w:rsid w:val="00FE0204"/>
    <w:rsid w:val="00FE2D61"/>
    <w:rsid w:val="00FF1C30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40E1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40E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mailto:samplingPNRR@mef.gov.i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samplingPNRR@mef.gov.i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1160</Words>
  <Characters>6614</Characters>
  <Application>Microsoft Office Word</Application>
  <DocSecurity>0</DocSecurity>
  <Lines>55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2023-07-27T07:10:00Z</dcterms:created>
  <dcterms:modified xsi:type="dcterms:W3CDTF">2023-10-27T11:58:00Z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